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(NOD)</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B6030D" w:rsidRDefault="00B6030D" w:rsidP="00B6030D">
      <w:pPr>
        <w:jc w:val="both"/>
        <w:rPr>
          <w:rFonts w:cs="Arial"/>
        </w:rPr>
      </w:pPr>
      <w:r w:rsidRPr="0009405B">
        <w:rPr>
          <w:rFonts w:cs="Arial"/>
        </w:rPr>
        <w:t xml:space="preserve">In the </w:t>
      </w:r>
      <w:r w:rsidRPr="0009405B">
        <w:rPr>
          <w:rFonts w:cs="Arial"/>
          <w:b/>
        </w:rPr>
        <w:t>NOD</w:t>
      </w:r>
      <w:r w:rsidRPr="0009405B">
        <w:rPr>
          <w:rFonts w:cs="Arial"/>
        </w:rPr>
        <w:t xml:space="preserve"> sub-study, a total of 18 samples from 6 week old, male NOD/</w:t>
      </w:r>
      <w:proofErr w:type="spellStart"/>
      <w:r w:rsidRPr="0009405B">
        <w:rPr>
          <w:rFonts w:cs="Arial"/>
        </w:rPr>
        <w:t>ShiLtj</w:t>
      </w:r>
      <w:proofErr w:type="spellEnd"/>
      <w:r w:rsidRPr="0009405B">
        <w:rPr>
          <w:rFonts w:cs="Arial"/>
        </w:rPr>
        <w:t xml:space="preserve"> mice; comprised of 6 serum samples, 6 cecal content samples and 6 liver tissue samples were analyzed.  Three mice/matrix were exposed to PAT and 3 mice/matrix were non-exposed Controls. The mice were housed with SPF (Helicobacter </w:t>
      </w:r>
      <w:proofErr w:type="spellStart"/>
      <w:r w:rsidRPr="0009405B">
        <w:rPr>
          <w:rFonts w:cs="Arial"/>
        </w:rPr>
        <w:t>neg</w:t>
      </w:r>
      <w:proofErr w:type="spellEnd"/>
      <w:r w:rsidRPr="0009405B">
        <w:rPr>
          <w:rFonts w:cs="Arial"/>
        </w:rPr>
        <w:t xml:space="preserve">/MNV </w:t>
      </w:r>
      <w:proofErr w:type="spellStart"/>
      <w:r w:rsidRPr="0009405B">
        <w:rPr>
          <w:rFonts w:cs="Arial"/>
        </w:rPr>
        <w:t>neg</w:t>
      </w:r>
      <w:proofErr w:type="spellEnd"/>
      <w:r w:rsidRPr="0009405B">
        <w:rPr>
          <w:rFonts w:cs="Arial"/>
        </w:rPr>
        <w:t>) bedding and fed a normal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06239">
        <w:t>NOD</w:t>
      </w:r>
      <w:r w:rsidRPr="00B6426C">
        <w:t>_</w:t>
      </w:r>
      <w:r w:rsidR="0011479E">
        <w:t>Serum</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r w:rsidR="00806239">
        <w:t>NOD_</w:t>
      </w:r>
      <w:r w:rsidR="006E36F5" w:rsidRPr="006E36F5">
        <w:t xml:space="preserve"> </w:t>
      </w:r>
      <w:r w:rsidR="0011479E">
        <w:t>Serum</w:t>
      </w:r>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r w:rsidR="00806239">
        <w:t>NOD</w:t>
      </w:r>
      <w:r w:rsidRPr="00B6426C">
        <w:t>_</w:t>
      </w:r>
      <w:r w:rsidR="006E36F5" w:rsidRPr="006E36F5">
        <w:t xml:space="preserve"> </w:t>
      </w:r>
      <w:r w:rsidR="0011479E">
        <w:t>Serum</w:t>
      </w:r>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r w:rsidR="00806239">
        <w:t>NOD</w:t>
      </w:r>
      <w:r w:rsidRPr="00051EC0">
        <w:t>_</w:t>
      </w:r>
      <w:r w:rsidR="006E36F5" w:rsidRPr="006E36F5">
        <w:t xml:space="preserve"> </w:t>
      </w:r>
      <w:r w:rsidR="0011479E">
        <w:t>Serum</w:t>
      </w:r>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9B75FE">
        <w:t>NOD</w:t>
      </w:r>
      <w:bookmarkStart w:id="0" w:name="_GoBack"/>
      <w:bookmarkEnd w:id="0"/>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7746C7">
        <w:rPr>
          <w:b/>
          <w:bCs/>
        </w:rPr>
        <w:t>NOD</w:t>
      </w:r>
      <w:r w:rsidRPr="00911626">
        <w:rPr>
          <w:b/>
          <w:bCs/>
        </w:rPr>
        <w:t>_</w:t>
      </w:r>
      <w:r w:rsidR="0011479E">
        <w:rPr>
          <w:b/>
          <w:bCs/>
        </w:rPr>
        <w:t>Serum</w:t>
      </w:r>
      <w:proofErr w:type="spellEnd"/>
      <w:r w:rsidR="006E36F5" w:rsidRPr="006E36F5">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r w:rsidRPr="00B6426C">
        <w:rPr>
          <w:b/>
          <w:bCs/>
        </w:rPr>
        <w:t xml:space="preserve">2. </w:t>
      </w:r>
      <w:proofErr w:type="spellStart"/>
      <w:r w:rsidR="007746C7">
        <w:rPr>
          <w:b/>
        </w:rPr>
        <w:t>NOD</w:t>
      </w:r>
      <w:r w:rsidRPr="00442A4D">
        <w:rPr>
          <w:b/>
        </w:rPr>
        <w:t>_</w:t>
      </w:r>
      <w:r w:rsidR="0011479E">
        <w:rPr>
          <w:b/>
        </w:rPr>
        <w:t>Serum</w:t>
      </w:r>
      <w:proofErr w:type="spellEnd"/>
      <w:r w:rsidR="007746C7">
        <w:rPr>
          <w:b/>
        </w:rPr>
        <w:t xml:space="preserve"> </w:t>
      </w:r>
      <w:r w:rsidRPr="00442A4D">
        <w:rPr>
          <w:b/>
        </w:rPr>
        <w:t>Study Design Table</w:t>
      </w:r>
      <w:r w:rsidRPr="00442A4D">
        <w:rPr>
          <w:b/>
          <w:bCs/>
        </w:rPr>
        <w:t>.xlsx</w:t>
      </w:r>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r w:rsidR="007746C7">
        <w:rPr>
          <w:b/>
          <w:bCs/>
        </w:rPr>
        <w:t>NOD_</w:t>
      </w:r>
      <w:r w:rsidR="0011479E">
        <w:rPr>
          <w:b/>
          <w:bCs/>
        </w:rPr>
        <w:t>Serum</w:t>
      </w:r>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F27154">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1479E"/>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6E36F5"/>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759C0"/>
    <w:rsid w:val="009B75FE"/>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869EB"/>
    <w:rsid w:val="00C8714B"/>
    <w:rsid w:val="00C94F7F"/>
    <w:rsid w:val="00CC6BA4"/>
    <w:rsid w:val="00D00E05"/>
    <w:rsid w:val="00D24731"/>
    <w:rsid w:val="00E025D3"/>
    <w:rsid w:val="00E034FD"/>
    <w:rsid w:val="00E727EE"/>
    <w:rsid w:val="00EA0DB7"/>
    <w:rsid w:val="00EC6E78"/>
    <w:rsid w:val="00EE72E7"/>
    <w:rsid w:val="00EF5659"/>
    <w:rsid w:val="00F17E95"/>
    <w:rsid w:val="00F27154"/>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B0D37-EEE3-4244-8BED-56C6528CC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4</cp:revision>
  <dcterms:created xsi:type="dcterms:W3CDTF">2014-02-24T02:47:00Z</dcterms:created>
  <dcterms:modified xsi:type="dcterms:W3CDTF">2014-02-25T21:01:00Z</dcterms:modified>
</cp:coreProperties>
</file>